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letter to all mailmen, for their service</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Mailmen of the Country,</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(Name of Postal Service)</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 you so much for the hard work you put into ensuring that everyone gets their parcels, everyday. You work hard and provide an essential service, irrespective of the time of year. Because of your diligence, millions of people regularly receive their parcels on time. I would like to thank each and every one of you for the dedication you have put into ensuring that everyone receives their parcels, on a regular basis.</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(Locality)</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